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B96"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ДОГОВОР</w:t>
      </w:r>
    </w:p>
    <w:p w:rsidR="000B5B96"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регистрации доменных имен</w:t>
      </w:r>
    </w:p>
    <w:tbl>
      <w:tblPr>
        <w:tblW w:w="5000" w:type="pct"/>
        <w:tblLook w:val="01E0" w:firstRow="1" w:lastRow="1" w:firstColumn="1" w:lastColumn="1" w:noHBand="0" w:noVBand="0"/>
      </w:tblPr>
      <w:tblGrid>
        <w:gridCol w:w="5101"/>
        <w:gridCol w:w="5103"/>
      </w:tblGrid>
      <w:tr w:rsidR="000B5B96">
        <w:tc>
          <w:tcPr>
            <w:tcW w:w="5101" w:type="dxa"/>
            <w:vAlign w:val="center"/>
          </w:tcPr>
          <w:p w:rsidR="000B5B96" w:rsidRDefault="00000000">
            <w:pPr>
              <w:spacing w:before="240" w:after="240" w:line="240" w:lineRule="auto"/>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lang w:eastAsia="ru-RU"/>
              </w:rPr>
              <w:t>г. Москва</w:t>
            </w:r>
          </w:p>
        </w:tc>
        <w:tc>
          <w:tcPr>
            <w:tcW w:w="5102" w:type="dxa"/>
          </w:tcPr>
          <w:p w:rsidR="000B5B96" w:rsidRDefault="00000000">
            <w:pPr>
              <w:spacing w:before="240" w:after="0" w:line="240" w:lineRule="auto"/>
              <w:jc w:val="right"/>
              <w:rPr>
                <w:rFonts w:ascii="Times New Roman" w:eastAsia="Times New Roman" w:hAnsi="Times New Roman" w:cs="Times New Roman"/>
                <w:spacing w:val="-8"/>
                <w:lang w:eastAsia="ru-RU"/>
              </w:rPr>
            </w:pPr>
            <w:r>
              <w:rPr>
                <w:rFonts w:ascii="Times New Roman" w:eastAsia="Times New Roman" w:hAnsi="Times New Roman" w:cs="Times New Roman"/>
                <w:spacing w:val="-8"/>
                <w:lang w:eastAsia="ru-RU"/>
              </w:rPr>
              <w:t>Дата заключения: «______»_________________ 20___ г.</w:t>
            </w:r>
          </w:p>
          <w:p w:rsidR="000B5B96" w:rsidRDefault="000B5B96">
            <w:pPr>
              <w:spacing w:after="240" w:line="240" w:lineRule="auto"/>
              <w:jc w:val="right"/>
              <w:rPr>
                <w:rFonts w:ascii="Times New Roman" w:eastAsia="Times New Roman" w:hAnsi="Times New Roman" w:cs="Times New Roman"/>
                <w:spacing w:val="-8"/>
                <w:sz w:val="24"/>
                <w:szCs w:val="24"/>
                <w:lang w:eastAsia="ru-RU"/>
              </w:rPr>
            </w:pPr>
          </w:p>
        </w:tc>
      </w:tr>
    </w:tbl>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Общество с ограниченной ответственностью "Регистрация доменов"</w:t>
      </w:r>
      <w:r>
        <w:rPr>
          <w:rFonts w:ascii="Times New Roman" w:eastAsia="Times New Roman" w:hAnsi="Times New Roman" w:cs="Times New Roman"/>
          <w:lang w:eastAsia="ru-RU"/>
        </w:rPr>
        <w:t xml:space="preserve"> (ОГРН 1155053001960), именуемое в дальнейшем «Регистратор», в лице генерального директора Малинковича Павла Яковлевича, действующего на основании Устава</w:t>
      </w:r>
      <w:r w:rsidR="00915095" w:rsidRPr="00915095">
        <w:rPr>
          <w:rFonts w:ascii="Times New Roman" w:eastAsia="Times New Roman" w:hAnsi="Times New Roman" w:cs="Times New Roman"/>
          <w:lang w:eastAsia="ru-RU"/>
        </w:rPr>
        <w:t/>
      </w:r>
      <w:r>
        <w:rPr>
          <w:rFonts w:ascii="Times New Roman" w:eastAsia="Times New Roman" w:hAnsi="Times New Roman" w:cs="Times New Roman"/>
          <w:lang w:eastAsia="ru-RU"/>
        </w:rPr>
        <w:t xml:space="preserve">, с одной стороны, и </w:t>
      </w:r>
      <w:r>
        <w:rPr>
          <w:rFonts w:ascii="Times New Roman" w:eastAsia="Times New Roman" w:hAnsi="Times New Roman" w:cs="Times New Roman"/>
          <w:b/>
          <w:lang w:eastAsia="ru-RU"/>
        </w:rPr>
        <w:t>«________________»</w:t>
      </w:r>
      <w:r>
        <w:rPr>
          <w:rFonts w:ascii="Times New Roman" w:eastAsia="Times New Roman" w:hAnsi="Times New Roman" w:cs="Times New Roman"/>
          <w:lang w:eastAsia="ru-RU"/>
        </w:rPr>
        <w:t xml:space="preserve"> (ОГРН ____________________), именуемое в дальнейшем «Заказчик», в лице _____________________________ _____________________________________________, действующего на основании Устава, с другой стороны,</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совместно именуемые «Стороны», а по отдельности «Сторона», заключили настоящий договор на оказание услуг (далее – Договор) на нижеследующих условиях.</w:t>
      </w:r>
    </w:p>
    <w:p w:rsidR="000B5B96" w:rsidRDefault="00000000">
      <w:pPr>
        <w:keepNext/>
        <w:numPr>
          <w:ilvl w:val="0"/>
          <w:numId w:val="52"/>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ПРЕДМЕТ ДОГОВОРА</w:t>
      </w:r>
    </w:p>
    <w:p w:rsidR="000B5B96" w:rsidRDefault="00000000">
      <w:pPr>
        <w:numPr>
          <w:ilvl w:val="1"/>
          <w:numId w:val="5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rsidR="000B5B96" w:rsidRDefault="00000000">
      <w:pPr>
        <w:numPr>
          <w:ilvl w:val="1"/>
          <w:numId w:val="5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 xml:space="preserve"> (далее – Сайте), путем направления соответствующих заявок через клиентский раздел Сайта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REF _Ref303964869 \r \h</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2.2.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Условия дополнительных услуг при их наличии отражаются на Сайте.</w:t>
      </w:r>
    </w:p>
    <w:p w:rsidR="000B5B96" w:rsidRDefault="00000000">
      <w:pPr>
        <w:keepNext/>
        <w:numPr>
          <w:ilvl w:val="0"/>
          <w:numId w:val="55"/>
        </w:numPr>
        <w:spacing w:before="400" w:after="280" w:line="240" w:lineRule="auto"/>
        <w:ind w:left="357" w:hanging="357"/>
        <w:jc w:val="both"/>
        <w:rPr>
          <w:rFonts w:ascii="Times New Roman" w:eastAsia="Times New Roman" w:hAnsi="Times New Roman" w:cs="Times New Roman"/>
          <w:b/>
          <w:spacing w:val="10"/>
          <w:lang w:eastAsia="ru-RU"/>
        </w:rPr>
      </w:pPr>
      <w:bookmarkStart w:id="0" w:name="_Ref304199018"/>
      <w:r>
        <w:rPr>
          <w:rFonts w:ascii="Times New Roman" w:eastAsia="Times New Roman" w:hAnsi="Times New Roman" w:cs="Times New Roman"/>
          <w:b/>
          <w:spacing w:val="10"/>
          <w:lang w:eastAsia="ru-RU"/>
        </w:rPr>
        <w:t>ЗАКЛЮЧЕНИЕ ДОГОВОРА</w:t>
      </w:r>
      <w:bookmarkEnd w:id="0"/>
    </w:p>
    <w:p w:rsidR="000B5B96" w:rsidRDefault="00000000">
      <w:pPr>
        <w:numPr>
          <w:ilvl w:val="1"/>
          <w:numId w:val="5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считается заключенным и вступает в силу с момента его подписания обеими Сторонами. Подписанием настоящего Договора Стороны подтверждают свое полное и безоговорочное согласие со всеми условиями и положениями Договора, а также обязуются исполнить принятые на себя обязательства в полном объеме.</w:t>
      </w:r>
    </w:p>
    <w:p w:rsidR="000B5B96" w:rsidRDefault="00000000">
      <w:pPr>
        <w:numPr>
          <w:ilvl w:val="1"/>
          <w:numId w:val="57"/>
        </w:numPr>
        <w:spacing w:before="120" w:after="0" w:line="240" w:lineRule="auto"/>
        <w:jc w:val="both"/>
        <w:rPr>
          <w:rFonts w:ascii="Times New Roman" w:eastAsia="Times New Roman" w:hAnsi="Times New Roman" w:cs="Times New Roman"/>
          <w:lang w:eastAsia="ru-RU"/>
        </w:rPr>
      </w:pPr>
      <w:bookmarkStart w:id="1" w:name="_Ref303964869"/>
      <w:r>
        <w:rPr>
          <w:rFonts w:ascii="Times New Roman" w:eastAsia="Times New Roman" w:hAnsi="Times New Roman" w:cs="Times New Roman"/>
          <w:u w:val="single"/>
          <w:lang w:eastAsia="ru-RU"/>
        </w:rPr>
        <w:t>Клиентский раздел</w:t>
      </w:r>
      <w:r>
        <w:rPr>
          <w:rFonts w:ascii="Times New Roman" w:eastAsia="Times New Roman" w:hAnsi="Times New Roman" w:cs="Times New Roman"/>
          <w:lang w:eastAsia="ru-RU"/>
        </w:rPr>
        <w:t>.</w:t>
      </w:r>
      <w:bookmarkEnd w:id="1"/>
    </w:p>
    <w:p w:rsidR="000B5B96" w:rsidRDefault="00000000">
      <w:pPr>
        <w:numPr>
          <w:ilvl w:val="2"/>
          <w:numId w:val="5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rsidR="000B5B96" w:rsidRDefault="00000000">
      <w:pPr>
        <w:numPr>
          <w:ilvl w:val="2"/>
          <w:numId w:val="5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заключения настоящего Договора, Регистратор создает для Заказчика доступ в Клиентский раздел, о чем Заказчик уведомляется по электронной почте. </w:t>
      </w:r>
    </w:p>
    <w:p w:rsidR="000B5B96" w:rsidRDefault="00000000">
      <w:pPr>
        <w:numPr>
          <w:ilvl w:val="2"/>
          <w:numId w:val="6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соответствующая возможность предоставляется Регистратором в клиентском разделе, Заказчик вправе создать для третьих лиц дополнительные логин и пароль, предоставляющие возможность получить доступ к информации в Клиентском разделе Заказчика, но без права ее изменения и подачи заявок (гостевой доступ). </w:t>
      </w:r>
    </w:p>
    <w:p w:rsidR="000B5B96" w:rsidRDefault="00000000">
      <w:pPr>
        <w:keepNext/>
        <w:numPr>
          <w:ilvl w:val="0"/>
          <w:numId w:val="6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УСЛОВИЯ ОКАЗАНИЯ УСЛУГ</w:t>
      </w:r>
    </w:p>
    <w:p w:rsidR="000B5B96" w:rsidRDefault="00000000">
      <w:pPr>
        <w:numPr>
          <w:ilvl w:val="1"/>
          <w:numId w:val="62"/>
        </w:numPr>
        <w:spacing w:before="120" w:after="0" w:line="240" w:lineRule="auto"/>
        <w:jc w:val="both"/>
        <w:rPr>
          <w:rFonts w:ascii="Times New Roman" w:eastAsia="Times New Roman" w:hAnsi="Times New Roman" w:cs="Times New Roman"/>
          <w:lang w:eastAsia="ru-RU"/>
        </w:rPr>
      </w:pPr>
      <w:bookmarkStart w:id="2" w:name="_Ref303881656"/>
      <w:r>
        <w:rPr>
          <w:rFonts w:ascii="Times New Roman" w:eastAsia="Times New Roman" w:hAnsi="Times New Roman" w:cs="Times New Roman"/>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w:t>
      </w:r>
      <w:bookmarkEnd w:id="2"/>
      <w:r>
        <w:rPr>
          <w:rFonts w:ascii="Times New Roman" w:eastAsia="Times New Roman" w:hAnsi="Times New Roman" w:cs="Times New Roman"/>
          <w:lang w:eastAsia="ru-RU"/>
        </w:rPr>
        <w:t xml:space="preserve">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ascii="Times New Roman" w:eastAsia="Times New Roman" w:hAnsi="Times New Roman" w:cs="Times New Roman"/>
          <w:lang w:val="en-US" w:eastAsia="ru-RU"/>
        </w:rPr>
        <w:t>cctld</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ru</w:t>
      </w:r>
      <w:r>
        <w:rPr>
          <w:rFonts w:ascii="Times New Roman" w:eastAsia="Times New Roman" w:hAnsi="Times New Roman" w:cs="Times New Roman"/>
          <w:lang w:eastAsia="ru-RU"/>
        </w:rPr>
        <w:t xml:space="preserve"> (</w:t>
      </w:r>
      <w:hyperlink r:id="rId8">
        <w:r w:rsidR="000B5B96">
          <w:rPr>
            <w:rFonts w:ascii="Times New Roman" w:eastAsia="Times New Roman" w:hAnsi="Times New Roman" w:cs="Times New Roman"/>
            <w:lang w:eastAsia="ru-RU"/>
          </w:rPr>
          <w:t>https://cctld.ru/domains/docs/</w:t>
        </w:r>
      </w:hyperlink>
      <w:r>
        <w:rPr>
          <w:rFonts w:ascii="Times New Roman" w:eastAsia="Times New Roman" w:hAnsi="Times New Roman" w:cs="Times New Roman"/>
          <w:lang w:eastAsia="ru-RU"/>
        </w:rPr>
        <w:t xml:space="preserve">), в частности </w:t>
      </w:r>
      <w:hyperlink r:id="rId9">
        <w:r w:rsidR="000B5B96">
          <w:rPr>
            <w:rFonts w:ascii="Times New Roman" w:hAnsi="Times New Roman" w:cs="Times New Roman"/>
          </w:rPr>
          <w:t>https://cctld.ru/files/pdf/docs/rules_ru-rf.pdf</w:t>
        </w:r>
      </w:hyperlink>
      <w:r>
        <w:rPr>
          <w:rFonts w:ascii="Times New Roman" w:eastAsia="Times New Roman" w:hAnsi="Times New Roman" w:cs="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0B5B96" w:rsidRDefault="00000000">
      <w:pPr>
        <w:numPr>
          <w:ilvl w:val="1"/>
          <w:numId w:val="6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rsidR="000B5B96" w:rsidRDefault="00000000">
      <w:pPr>
        <w:numPr>
          <w:ilvl w:val="1"/>
          <w:numId w:val="64"/>
        </w:numPr>
        <w:spacing w:before="120" w:after="0" w:line="240" w:lineRule="auto"/>
        <w:jc w:val="both"/>
        <w:rPr>
          <w:rFonts w:ascii="Times New Roman" w:eastAsia="Times New Roman" w:hAnsi="Times New Roman" w:cs="Times New Roman"/>
          <w:lang w:eastAsia="ru-RU"/>
        </w:rPr>
      </w:pPr>
      <w:bookmarkStart w:id="3" w:name="_Ref272433406"/>
      <w:r>
        <w:rPr>
          <w:rFonts w:ascii="Times New Roman" w:eastAsia="Times New Roman" w:hAnsi="Times New Roman" w:cs="Times New Roman"/>
          <w:lang w:eastAsia="ru-RU"/>
        </w:rPr>
        <w:lastRenderedPageBreak/>
        <w:t xml:space="preserve">Заказчик вправе </w:t>
      </w:r>
      <w:bookmarkEnd w:id="3"/>
      <w:r>
        <w:rPr>
          <w:rFonts w:ascii="Times New Roman" w:eastAsia="Times New Roman" w:hAnsi="Times New Roman" w:cs="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0B5B96" w:rsidRDefault="00000000">
      <w:pPr>
        <w:numPr>
          <w:ilvl w:val="1"/>
          <w:numId w:val="6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rsidR="000B5B96" w:rsidRDefault="00000000">
      <w:pPr>
        <w:numPr>
          <w:ilvl w:val="1"/>
          <w:numId w:val="6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w:t>
      </w:r>
    </w:p>
    <w:p w:rsidR="000B5B96" w:rsidRDefault="00000000">
      <w:pPr>
        <w:numPr>
          <w:ilvl w:val="1"/>
          <w:numId w:val="6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rsidR="000B5B96" w:rsidRDefault="00000000">
      <w:pPr>
        <w:numPr>
          <w:ilvl w:val="1"/>
          <w:numId w:val="6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указано в Договоре или на Сайте, Регистратор рассматривает заявки Заказчика в течение 3 рабочих дней.</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0B5B96" w:rsidRDefault="00000000">
      <w:pPr>
        <w:numPr>
          <w:ilvl w:val="1"/>
          <w:numId w:val="6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rsidR="000B5B96" w:rsidRDefault="00000000">
      <w:pPr>
        <w:numPr>
          <w:ilvl w:val="1"/>
          <w:numId w:val="7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bookmarkStart w:id="4" w:name="_Ref247707190"/>
      <w:bookmarkEnd w:id="4"/>
    </w:p>
    <w:p w:rsidR="000B5B96" w:rsidRDefault="00000000">
      <w:pPr>
        <w:keepNext/>
        <w:numPr>
          <w:ilvl w:val="0"/>
          <w:numId w:val="7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ВОЗНАГРАЖДЕНИЕ И РАСЧЕТЫ</w:t>
      </w:r>
    </w:p>
    <w:p w:rsidR="000B5B96" w:rsidRDefault="00000000">
      <w:pPr>
        <w:numPr>
          <w:ilvl w:val="1"/>
          <w:numId w:val="7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w:t>
      </w:r>
    </w:p>
    <w:p w:rsidR="000B5B96" w:rsidRDefault="00000000">
      <w:pPr>
        <w:numPr>
          <w:ilvl w:val="1"/>
          <w:numId w:val="73"/>
        </w:numPr>
        <w:spacing w:before="120" w:after="0" w:line="240" w:lineRule="auto"/>
        <w:jc w:val="both"/>
        <w:rPr>
          <w:rFonts w:ascii="Times New Roman" w:eastAsia="Times New Roman" w:hAnsi="Times New Roman" w:cs="Times New Roman"/>
          <w:lang w:eastAsia="ru-RU"/>
        </w:rPr>
      </w:pPr>
      <w:bookmarkStart w:id="5" w:name="_Ref303963301"/>
      <w:r>
        <w:rPr>
          <w:rFonts w:ascii="Times New Roman" w:eastAsia="Times New Roman" w:hAnsi="Times New Roman" w:cs="Times New Roman"/>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rsidR="000B5B96" w:rsidRDefault="00000000">
      <w:pPr>
        <w:numPr>
          <w:ilvl w:val="1"/>
          <w:numId w:val="7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0B5B96" w:rsidRDefault="00000000">
      <w:pPr>
        <w:numPr>
          <w:ilvl w:val="1"/>
          <w:numId w:val="7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услуг включает НДС по ставке, действующей на момент оказания услуги.</w:t>
      </w:r>
    </w:p>
    <w:p w:rsidR="000B5B96" w:rsidRDefault="00000000">
      <w:pPr>
        <w:numPr>
          <w:ilvl w:val="1"/>
          <w:numId w:val="7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w:t>
      </w:r>
      <w:r>
        <w:rPr>
          <w:rFonts w:ascii="Times New Roman" w:eastAsia="Times New Roman" w:hAnsi="Times New Roman" w:cs="Times New Roman"/>
          <w:lang w:eastAsia="ru-RU"/>
        </w:rPr>
        <w:lastRenderedPageBreak/>
        <w:t>платежу), которое указано в счете, в том числе оно должно включать номер, присвоенный регистратором соответствующему заказу (заявке).</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0B5B96" w:rsidRDefault="00000000">
      <w:pPr>
        <w:numPr>
          <w:ilvl w:val="1"/>
          <w:numId w:val="7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может быть выплачено Заказчиком в наличной форме в офисе Регистратора (адреса указаны на Сайте по адресу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 или в безналичной форме (банковский перевод с собственного счета Заказчика или без открытия банковского счета).</w:t>
      </w:r>
    </w:p>
    <w:p w:rsidR="000B5B96" w:rsidRDefault="00000000">
      <w:pPr>
        <w:numPr>
          <w:ilvl w:val="1"/>
          <w:numId w:val="7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0B5B96" w:rsidRDefault="00000000">
      <w:pPr>
        <w:numPr>
          <w:ilvl w:val="1"/>
          <w:numId w:val="7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0B5B96" w:rsidRDefault="00000000">
      <w:pPr>
        <w:numPr>
          <w:ilvl w:val="1"/>
          <w:numId w:val="8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0B5B96" w:rsidRDefault="00000000">
      <w:pPr>
        <w:keepNext/>
        <w:numPr>
          <w:ilvl w:val="0"/>
          <w:numId w:val="8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ОТВЕТСТВЕННОСТЬ СТОРОН</w:t>
      </w:r>
    </w:p>
    <w:p w:rsidR="000B5B96" w:rsidRDefault="00000000">
      <w:pPr>
        <w:numPr>
          <w:ilvl w:val="1"/>
          <w:numId w:val="8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отвечает за нарушение Договора только при наличии вины.</w:t>
      </w:r>
      <w:bookmarkStart w:id="6" w:name="_Ref280301625"/>
      <w:bookmarkEnd w:id="6"/>
    </w:p>
    <w:p w:rsidR="000B5B96" w:rsidRDefault="00000000">
      <w:pPr>
        <w:numPr>
          <w:ilvl w:val="1"/>
          <w:numId w:val="8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прекратить делегирование доменного имени в случаях, предусмотренных Правилами Координационного центра.</w:t>
      </w:r>
    </w:p>
    <w:p w:rsidR="000B5B96" w:rsidRDefault="00000000">
      <w:pPr>
        <w:numPr>
          <w:ilvl w:val="1"/>
          <w:numId w:val="8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вправе применять иные меры ответственности, предусмотренные Договором.</w:t>
      </w:r>
    </w:p>
    <w:p w:rsidR="000B5B96" w:rsidRDefault="00000000">
      <w:pPr>
        <w:numPr>
          <w:ilvl w:val="1"/>
          <w:numId w:val="8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ответа на претензию в указанный срок считается завершением претензионного порядка.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0B5B96" w:rsidRDefault="00000000">
      <w:pPr>
        <w:numPr>
          <w:ilvl w:val="1"/>
          <w:numId w:val="8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0B5B96" w:rsidRDefault="00000000">
      <w:pPr>
        <w:keepNext/>
        <w:numPr>
          <w:ilvl w:val="0"/>
          <w:numId w:val="87"/>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lastRenderedPageBreak/>
        <w:t>ИЗМЕНЕНИЕ И ПРЕКРАЩЕНИЕ ДОГОВОРА</w:t>
      </w:r>
    </w:p>
    <w:p w:rsidR="000B5B96" w:rsidRDefault="00000000">
      <w:pPr>
        <w:numPr>
          <w:ilvl w:val="1"/>
          <w:numId w:val="8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Координационного центра (по ним Регистратор обязуется уведомлять в порядке, предусмотренном в абзаце первом настоящего пункта).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0B5B96" w:rsidRDefault="00000000">
      <w:pPr>
        <w:numPr>
          <w:ilvl w:val="1"/>
          <w:numId w:val="8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0B5B96" w:rsidRDefault="00000000">
      <w:pPr>
        <w:numPr>
          <w:ilvl w:val="1"/>
          <w:numId w:val="9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rsidR="000B5B96" w:rsidRDefault="00000000">
      <w:pPr>
        <w:pStyle w:val="af6"/>
        <w:widowControl w:val="0"/>
        <w:tabs>
          <w:tab w:val="left" w:pos="10366"/>
        </w:tabs>
        <w:spacing w:after="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w:t>
      </w:r>
    </w:p>
    <w:p w:rsidR="000B5B96" w:rsidRDefault="000B5B96">
      <w:pPr>
        <w:spacing w:before="120" w:after="0" w:line="240" w:lineRule="auto"/>
        <w:jc w:val="both"/>
        <w:rPr>
          <w:rFonts w:ascii="Times New Roman" w:eastAsia="Times New Roman" w:hAnsi="Times New Roman" w:cs="Times New Roman"/>
          <w:lang w:eastAsia="ru-RU"/>
        </w:rPr>
      </w:pPr>
    </w:p>
    <w:p w:rsidR="000B5B96" w:rsidRDefault="00000000">
      <w:pPr>
        <w:keepNext/>
        <w:numPr>
          <w:ilvl w:val="0"/>
          <w:numId w:val="9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ЗАКЛЮЧИТЕЛЬНЫЕ ПОЛОЖЕНИЯ</w:t>
      </w:r>
    </w:p>
    <w:p w:rsidR="000B5B96" w:rsidRDefault="00000000">
      <w:pPr>
        <w:numPr>
          <w:ilvl w:val="1"/>
          <w:numId w:val="9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0B5B96" w:rsidRDefault="00000000">
      <w:pPr>
        <w:numPr>
          <w:ilvl w:val="1"/>
          <w:numId w:val="9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REF _Ref303963301 \r \h</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4.2.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rsidR="000B5B96" w:rsidRDefault="00000000">
      <w:pPr>
        <w:numPr>
          <w:ilvl w:val="1"/>
          <w:numId w:val="9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0B5B96" w:rsidRDefault="00000000">
      <w:pPr>
        <w:numPr>
          <w:ilvl w:val="1"/>
          <w:numId w:val="9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Стороны признают юридическую силу за электронными письмами – документами, направленными по электронной почте (</w:t>
      </w:r>
      <w:r>
        <w:rPr>
          <w:rFonts w:ascii="Times New Roman" w:eastAsia="Times New Roman" w:hAnsi="Times New Roman" w:cs="Times New Roman"/>
          <w:lang w:val="en-US" w:eastAsia="ru-RU"/>
        </w:rPr>
        <w:t>e</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rsidR="000B5B96"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согласовано Сторонами или не оговорено Регистратором.</w:t>
      </w:r>
    </w:p>
    <w:p w:rsidR="000B5B96" w:rsidRDefault="00000000">
      <w:pPr>
        <w:numPr>
          <w:ilvl w:val="1"/>
          <w:numId w:val="9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rsidR="000B5B96" w:rsidRDefault="00000000">
      <w:pPr>
        <w:numPr>
          <w:ilvl w:val="1"/>
          <w:numId w:val="9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ascii="Times New Roman" w:eastAsia="Times New Roman" w:hAnsi="Times New Roman" w:cs="Times New Roman"/>
          <w:color w:val="auto"/>
          <w:u w:val="none"/>
          <w:lang w:eastAsia="ru-RU"/>
        </w:rPr>
        <w:t>https://fe.ru</w:t>
      </w:r>
      <w:r>
        <w:rPr>
          <w:rFonts w:ascii="Times New Roman" w:eastAsia="Times New Roman" w:hAnsi="Times New Roman" w:cs="Times New Roman"/>
          <w:lang w:eastAsia="ru-RU"/>
        </w:rPr>
        <w:t>.</w:t>
      </w:r>
    </w:p>
    <w:p w:rsidR="000B5B96" w:rsidRDefault="00000000">
      <w:pPr>
        <w:numPr>
          <w:ilvl w:val="1"/>
          <w:numId w:val="9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подписан Сторонами собственноручно в редакции актуальной на дату его оформления.</w:t>
      </w:r>
    </w:p>
    <w:p w:rsidR="000B5B96" w:rsidRDefault="00000000">
      <w:pPr>
        <w:numPr>
          <w:ilvl w:val="1"/>
          <w:numId w:val="9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Применимым правом по Договору является право Российской Федерации.</w:t>
      </w:r>
    </w:p>
    <w:p w:rsidR="000B5B96" w:rsidRDefault="00000000">
      <w:pPr>
        <w:numPr>
          <w:ilvl w:val="1"/>
          <w:numId w:val="10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относятся также и все нормы, включенные в него путем отсылки, если иное прямо не оговорено.</w:t>
      </w:r>
    </w:p>
    <w:p w:rsidR="000B5B96" w:rsidRDefault="00000000">
      <w:pPr>
        <w:keepNext/>
        <w:numPr>
          <w:ilvl w:val="0"/>
          <w:numId w:val="101"/>
        </w:numPr>
        <w:spacing w:before="400" w:after="280" w:line="240" w:lineRule="auto"/>
        <w:ind w:left="357" w:hanging="357"/>
        <w:jc w:val="both"/>
        <w:rPr>
          <w:rFonts w:ascii="Times New Roman" w:eastAsia="Times New Roman" w:hAnsi="Times New Roman" w:cs="Times New Roman"/>
          <w:b/>
          <w:spacing w:val="10"/>
          <w:lang w:eastAsia="ru-RU"/>
        </w:rPr>
      </w:pPr>
      <w:bookmarkStart w:id="7" w:name="_Ref247642744"/>
      <w:r>
        <w:rPr>
          <w:rFonts w:ascii="Times New Roman" w:eastAsia="Times New Roman" w:hAnsi="Times New Roman" w:cs="Times New Roman"/>
          <w:b/>
          <w:spacing w:val="10"/>
          <w:lang w:eastAsia="ru-RU"/>
        </w:rPr>
        <w:t xml:space="preserve">АДРЕСА И РЕКВИЗИТЫ </w:t>
      </w:r>
      <w:bookmarkEnd w:id="7"/>
      <w:r>
        <w:rPr>
          <w:rFonts w:ascii="Times New Roman" w:eastAsia="Times New Roman" w:hAnsi="Times New Roman" w:cs="Times New Roman"/>
          <w:b/>
          <w:spacing w:val="10"/>
          <w:lang w:eastAsia="ru-RU"/>
        </w:rPr>
        <w:t>СТОРОН</w:t>
      </w:r>
    </w:p>
    <w:tbl>
      <w:tblPr>
        <w:tblW w:w="5000" w:type="pct"/>
        <w:tblLook w:val="01E0" w:firstRow="1" w:lastRow="1" w:firstColumn="1" w:lastColumn="1" w:noHBand="0" w:noVBand="0"/>
      </w:tblPr>
      <w:tblGrid>
        <w:gridCol w:w="5097"/>
        <w:gridCol w:w="5097"/>
      </w:tblGrid>
      <w:tr w:rsidR="000B5B96">
        <w:tc>
          <w:tcPr>
            <w:tcW w:w="5101" w:type="dxa"/>
            <w:tcBorders>
              <w:top w:val="single" w:sz="4" w:space="0" w:color="000000"/>
              <w:left w:val="single" w:sz="4" w:space="0" w:color="000000"/>
              <w:right w:val="single" w:sz="4" w:space="0" w:color="000000"/>
            </w:tcBorders>
          </w:tcPr>
          <w:p w:rsidR="000B5B96" w:rsidRDefault="00000000">
            <w:pPr>
              <w:tabs>
                <w:tab w:val="left" w:pos="900"/>
              </w:tabs>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lang w:val="en-US" w:eastAsia="ru-RU"/>
              </w:rPr>
              <w:t>ООО "Регистрация доменов"</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ОГРН </w:t>
            </w:r>
            <w:r>
              <w:rPr>
                <w:rFonts w:ascii="Times New Roman" w:eastAsia="Times New Roman" w:hAnsi="Times New Roman" w:cs="Times New Roman"/>
                <w:color w:val="000000"/>
                <w:lang w:val="en-US" w:eastAsia="ru-RU"/>
              </w:rPr>
              <w:t>1155053001960</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ИНН </w:t>
            </w:r>
            <w:r>
              <w:rPr>
                <w:rFonts w:ascii="Times New Roman" w:eastAsia="Times New Roman" w:hAnsi="Times New Roman" w:cs="Times New Roman"/>
                <w:color w:val="000000"/>
                <w:lang w:val="en-US" w:eastAsia="ru-RU"/>
              </w:rPr>
              <w:t>5053039843</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Адрес: </w:t>
            </w:r>
            <w:r>
              <w:rPr>
                <w:rFonts w:ascii="Times New Roman" w:eastAsia="Times New Roman" w:hAnsi="Times New Roman" w:cs="Times New Roman"/>
                <w:color w:val="000000"/>
                <w:lang w:val="en-US" w:eastAsia="ru-RU"/>
              </w:rPr>
              <w:t>144002, Московская область, г. Электросталь, ул. Горького, д. 14, оф. 105</w:t>
            </w:r>
          </w:p>
          <w:p w:rsidR="000B5B96" w:rsidRDefault="00000000">
            <w:pPr>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Тел</w:t>
            </w:r>
            <w:r>
              <w:rPr>
                <w:rFonts w:ascii="Times New Roman" w:eastAsia="Times New Roman" w:hAnsi="Times New Roman" w:cs="Times New Roman"/>
                <w:color w:val="000000"/>
                <w:lang w:val="en-US" w:eastAsia="ru-RU"/>
              </w:rPr>
              <w:t xml:space="preserve">.: </w:t>
            </w:r>
            <w:r>
              <w:rPr>
                <w:rStyle w:val="js-phone-number"/>
                <w:rFonts w:ascii="Times New Roman" w:eastAsia="Times New Roman" w:hAnsi="Times New Roman" w:cs="Times New Roman"/>
                <w:color w:val="000000"/>
                <w:lang w:val="en-US" w:eastAsia="ru-RU"/>
              </w:rPr>
              <w:t>+7 (495) 132-02-25</w:t>
            </w:r>
          </w:p>
          <w:p w:rsidR="000B5B96" w:rsidRDefault="00000000">
            <w:pPr>
              <w:tabs>
                <w:tab w:val="left" w:pos="900"/>
              </w:tabs>
              <w:spacing w:after="0" w:line="240" w:lineRule="auto"/>
              <w:jc w:val="both"/>
            </w:pPr>
            <w:r>
              <w:rPr>
                <w:rFonts w:ascii="Times New Roman" w:eastAsia="Times New Roman" w:hAnsi="Times New Roman" w:cs="Times New Roman"/>
                <w:color w:val="000000"/>
                <w:lang w:val="en-US" w:eastAsia="ru-RU"/>
              </w:rPr>
              <w:t>E-mail: info@fe.ru</w:t>
            </w:r>
          </w:p>
        </w:tc>
        <w:tc>
          <w:tcPr>
            <w:tcW w:w="5102" w:type="dxa"/>
            <w:tcBorders>
              <w:top w:val="single" w:sz="4" w:space="0" w:color="000000"/>
              <w:left w:val="single" w:sz="4" w:space="0" w:color="000000"/>
              <w:right w:val="single" w:sz="4" w:space="0" w:color="000000"/>
            </w:tcBorders>
          </w:tcPr>
          <w:p w:rsidR="000B5B96" w:rsidRDefault="00000000">
            <w:pPr>
              <w:tabs>
                <w:tab w:val="left" w:pos="900"/>
              </w:tabs>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Наименование</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ОГРН</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ИНН</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w:t>
            </w:r>
          </w:p>
          <w:p w:rsidR="000B5B96" w:rsidRDefault="00000000">
            <w:pPr>
              <w:tabs>
                <w:tab w:val="left" w:pos="900"/>
              </w:tabs>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w:t>
            </w:r>
          </w:p>
        </w:tc>
      </w:tr>
      <w:tr w:rsidR="000B5B96">
        <w:tc>
          <w:tcPr>
            <w:tcW w:w="5101" w:type="dxa"/>
            <w:tcBorders>
              <w:left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u w:val="single"/>
                <w:lang w:eastAsia="ru-RU"/>
              </w:rPr>
            </w:pPr>
          </w:p>
          <w:p w:rsidR="000B5B96" w:rsidRDefault="00000000">
            <w:pPr>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Расчетный счет: 40702810940000014739</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Корреспондентский счет: 30101810400000000225</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БАНК: ПАО Сбербанк</w:t>
            </w:r>
          </w:p>
          <w:p w:rsidR="000B5B96" w:rsidRDefault="00000000">
            <w:pPr>
              <w:tabs>
                <w:tab w:val="left" w:pos="900"/>
              </w:tabs>
              <w:spacing w:after="0" w:line="240" w:lineRule="auto"/>
            </w:pPr>
            <w:r>
              <w:rPr>
                <w:rFonts w:ascii="Times New Roman" w:eastAsia="Times New Roman" w:hAnsi="Times New Roman" w:cs="Times New Roman"/>
                <w:color w:val="000000"/>
                <w:lang w:val="ru" w:eastAsia="ru-RU"/>
              </w:rPr>
              <w:t>БИК: 044525225</w:t>
            </w:r>
          </w:p>
        </w:tc>
        <w:tc>
          <w:tcPr>
            <w:tcW w:w="5102" w:type="dxa"/>
            <w:tcBorders>
              <w:left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u w:val="single"/>
                <w:lang w:eastAsia="ru-RU"/>
              </w:rPr>
            </w:pPr>
          </w:p>
          <w:p w:rsidR="000B5B96" w:rsidRDefault="00000000">
            <w:pPr>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Расчетный счет:</w:t>
            </w:r>
          </w:p>
          <w:p w:rsidR="000B5B96"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Корреспондентский счет:</w:t>
            </w:r>
          </w:p>
          <w:p w:rsidR="000B5B96" w:rsidRDefault="00000000">
            <w:pPr>
              <w:tabs>
                <w:tab w:val="left" w:pos="900"/>
              </w:tabs>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БАНК:</w:t>
            </w:r>
          </w:p>
          <w:p w:rsidR="000B5B96" w:rsidRDefault="00000000">
            <w:pPr>
              <w:tabs>
                <w:tab w:val="left" w:pos="900"/>
              </w:tabs>
              <w:spacing w:after="0" w:line="240" w:lineRule="auto"/>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БИК:</w:t>
            </w:r>
          </w:p>
        </w:tc>
      </w:tr>
      <w:tr w:rsidR="000B5B96">
        <w:tc>
          <w:tcPr>
            <w:tcW w:w="5101" w:type="dxa"/>
            <w:tcBorders>
              <w:left w:val="single" w:sz="4" w:space="0" w:color="000000"/>
              <w:bottom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w:t>
            </w:r>
          </w:p>
          <w:p w:rsidR="000B5B96" w:rsidRDefault="00000000">
            <w:pPr>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0B5B96" w:rsidRDefault="000B5B96">
            <w:pPr>
              <w:tabs>
                <w:tab w:val="left" w:pos="900"/>
              </w:tabs>
              <w:spacing w:after="0" w:line="240" w:lineRule="auto"/>
              <w:jc w:val="both"/>
              <w:rPr>
                <w:rFonts w:ascii="Times New Roman" w:eastAsia="Times New Roman" w:hAnsi="Times New Roman" w:cs="Times New Roman"/>
                <w:b/>
                <w:color w:val="000000"/>
                <w:lang w:eastAsia="ru-RU"/>
              </w:rPr>
            </w:pPr>
          </w:p>
        </w:tc>
        <w:tc>
          <w:tcPr>
            <w:tcW w:w="5102" w:type="dxa"/>
            <w:tcBorders>
              <w:left w:val="single" w:sz="4" w:space="0" w:color="000000"/>
              <w:bottom w:val="single" w:sz="4" w:space="0" w:color="000000"/>
              <w:right w:val="single" w:sz="4" w:space="0" w:color="000000"/>
            </w:tcBorders>
          </w:tcPr>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B5B96">
            <w:pPr>
              <w:tabs>
                <w:tab w:val="left" w:pos="900"/>
              </w:tabs>
              <w:spacing w:after="0" w:line="240" w:lineRule="auto"/>
              <w:jc w:val="both"/>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0B5B96"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0B5B96" w:rsidRDefault="000B5B96">
            <w:pPr>
              <w:tabs>
                <w:tab w:val="left" w:pos="900"/>
              </w:tabs>
              <w:spacing w:after="0" w:line="240" w:lineRule="auto"/>
              <w:jc w:val="center"/>
              <w:rPr>
                <w:rFonts w:ascii="Times New Roman" w:eastAsia="Times New Roman" w:hAnsi="Times New Roman" w:cs="Times New Roman"/>
                <w:color w:val="000000"/>
                <w:lang w:eastAsia="ru-RU"/>
              </w:rPr>
            </w:pPr>
          </w:p>
          <w:p w:rsidR="000B5B96"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/_____________________________________________/</w:t>
            </w:r>
          </w:p>
          <w:p w:rsidR="000B5B96" w:rsidRDefault="00000000">
            <w:pPr>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0B5B96" w:rsidRDefault="000B5B96">
            <w:pPr>
              <w:tabs>
                <w:tab w:val="left" w:pos="900"/>
              </w:tabs>
              <w:spacing w:after="0" w:line="240" w:lineRule="auto"/>
              <w:jc w:val="both"/>
              <w:rPr>
                <w:rFonts w:ascii="Times New Roman" w:eastAsia="Times New Roman" w:hAnsi="Times New Roman" w:cs="Times New Roman"/>
                <w:b/>
                <w:bCs/>
                <w:color w:val="000000"/>
                <w:lang w:eastAsia="ru-RU"/>
              </w:rPr>
            </w:pPr>
          </w:p>
        </w:tc>
      </w:tr>
    </w:tbl>
    <w:p w:rsidR="000B5B96" w:rsidRDefault="000B5B96">
      <w:pPr>
        <w:pStyle w:val="af6"/>
        <w:spacing w:after="0" w:line="240" w:lineRule="auto"/>
        <w:ind w:left="360"/>
        <w:rPr>
          <w:rFonts w:ascii="Times New Roman" w:eastAsia="Times New Roman" w:hAnsi="Times New Roman" w:cs="Times New Roman"/>
          <w:sz w:val="24"/>
          <w:szCs w:val="24"/>
          <w:lang w:eastAsia="ru-RU"/>
        </w:rPr>
      </w:pPr>
    </w:p>
    <w:sectPr w:rsidR="000B5B96">
      <w:footerReference w:type="default" r:id="rId10"/>
      <w:pgSz w:w="11906" w:h="16838"/>
      <w:pgMar w:top="567" w:right="851" w:bottom="397" w:left="851" w:header="0"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F56" w:rsidRDefault="00FF0F56">
      <w:pPr>
        <w:spacing w:after="0" w:line="240" w:lineRule="auto"/>
      </w:pPr>
      <w:r>
        <w:separator/>
      </w:r>
    </w:p>
  </w:endnote>
  <w:endnote w:type="continuationSeparator" w:id="0">
    <w:p w:rsidR="00FF0F56" w:rsidRDefault="00FF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0" w:type="pct"/>
      <w:tblLook w:val="01E0" w:firstRow="1" w:lastRow="1" w:firstColumn="1" w:lastColumn="1" w:noHBand="0" w:noVBand="0"/>
    </w:tblPr>
    <w:tblGrid>
      <w:gridCol w:w="4352"/>
      <w:gridCol w:w="4085"/>
      <w:gridCol w:w="1665"/>
    </w:tblGrid>
    <w:tr w:rsidR="000B5B96">
      <w:tc>
        <w:tcPr>
          <w:tcW w:w="4351" w:type="dxa"/>
        </w:tcPr>
        <w:p w:rsidR="000B5B96" w:rsidRDefault="000B5B96">
          <w:pPr>
            <w:pStyle w:val="af2"/>
            <w:rPr>
              <w:i/>
              <w:sz w:val="20"/>
              <w:szCs w:val="20"/>
            </w:rPr>
          </w:pPr>
        </w:p>
      </w:tc>
      <w:tc>
        <w:tcPr>
          <w:tcW w:w="4085" w:type="dxa"/>
        </w:tcPr>
        <w:p w:rsidR="000B5B96" w:rsidRDefault="000B5B96">
          <w:pPr>
            <w:pStyle w:val="af2"/>
            <w:rPr>
              <w:i/>
              <w:sz w:val="20"/>
              <w:szCs w:val="20"/>
              <w:lang w:val="en-GB"/>
            </w:rPr>
          </w:pPr>
        </w:p>
      </w:tc>
      <w:tc>
        <w:tcPr>
          <w:tcW w:w="1665" w:type="dxa"/>
          <w:vAlign w:val="center"/>
        </w:tcPr>
        <w:p w:rsidR="000B5B96" w:rsidRDefault="00000000">
          <w:pPr>
            <w:pStyle w:val="af2"/>
            <w:jc w:val="right"/>
            <w:rPr>
              <w:i/>
              <w:sz w:val="20"/>
              <w:szCs w:val="20"/>
              <w:lang w:val="en-GB"/>
            </w:rPr>
          </w:pPr>
          <w:r>
            <w:rPr>
              <w:i/>
              <w:sz w:val="20"/>
              <w:szCs w:val="20"/>
              <w:lang w:val="en-GB"/>
            </w:rPr>
            <w:t xml:space="preserve">стр. </w:t>
          </w:r>
          <w:r>
            <w:rPr>
              <w:sz w:val="20"/>
              <w:szCs w:val="20"/>
            </w:rPr>
            <w:fldChar w:fldCharType="begin"/>
          </w:r>
          <w:r>
            <w:rPr>
              <w:sz w:val="20"/>
              <w:szCs w:val="20"/>
            </w:rPr>
            <w:instrText>PAGE</w:instrText>
          </w:r>
          <w:r>
            <w:rPr>
              <w:sz w:val="20"/>
              <w:szCs w:val="20"/>
            </w:rPr>
            <w:fldChar w:fldCharType="separate"/>
          </w:r>
          <w:r>
            <w:rPr>
              <w:sz w:val="20"/>
              <w:szCs w:val="20"/>
            </w:rPr>
            <w:t>5</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sidR="001B36D1">
            <w:rPr>
              <w:i/>
              <w:noProof/>
              <w:sz w:val="20"/>
              <w:szCs w:val="20"/>
              <w:lang w:val="en-GB"/>
            </w:rPr>
            <w:t>5</w:t>
          </w:r>
          <w:r>
            <w:rPr>
              <w:i/>
              <w:sz w:val="20"/>
              <w:szCs w:val="20"/>
              <w:lang w:val="en-GB"/>
            </w:rPr>
            <w:fldChar w:fldCharType="end"/>
          </w:r>
        </w:p>
      </w:tc>
    </w:tr>
  </w:tbl>
  <w:p w:rsidR="000B5B96" w:rsidRDefault="000B5B9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F56" w:rsidRDefault="00FF0F56">
      <w:pPr>
        <w:spacing w:after="0" w:line="240" w:lineRule="auto"/>
      </w:pPr>
      <w:r>
        <w:separator/>
      </w:r>
    </w:p>
  </w:footnote>
  <w:footnote w:type="continuationSeparator" w:id="0">
    <w:p w:rsidR="00FF0F56" w:rsidRDefault="00FF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728"/>
    <w:multiLevelType w:val="multilevel"/>
    <w:tmpl w:val="02B416F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56A5383"/>
    <w:multiLevelType w:val="multilevel"/>
    <w:tmpl w:val="086A10C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B208E9"/>
    <w:multiLevelType w:val="multilevel"/>
    <w:tmpl w:val="F4621A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9B52DE"/>
    <w:multiLevelType w:val="multilevel"/>
    <w:tmpl w:val="978A10B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2C5E2B"/>
    <w:multiLevelType w:val="multilevel"/>
    <w:tmpl w:val="BDE8F92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694CF0"/>
    <w:multiLevelType w:val="multilevel"/>
    <w:tmpl w:val="D294FC4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C81665E"/>
    <w:multiLevelType w:val="multilevel"/>
    <w:tmpl w:val="D9BE09D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CAC5D01"/>
    <w:multiLevelType w:val="multilevel"/>
    <w:tmpl w:val="52A2622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CAF350B"/>
    <w:multiLevelType w:val="multilevel"/>
    <w:tmpl w:val="57B647A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D3F52A3"/>
    <w:multiLevelType w:val="multilevel"/>
    <w:tmpl w:val="FB0ED2A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F364812"/>
    <w:multiLevelType w:val="multilevel"/>
    <w:tmpl w:val="3D6CB84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412EC"/>
    <w:multiLevelType w:val="multilevel"/>
    <w:tmpl w:val="4F18B66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5A35391"/>
    <w:multiLevelType w:val="multilevel"/>
    <w:tmpl w:val="77F4720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6FD1C9C"/>
    <w:multiLevelType w:val="multilevel"/>
    <w:tmpl w:val="66B256C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AB2E6E"/>
    <w:multiLevelType w:val="multilevel"/>
    <w:tmpl w:val="CF94FE0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DF4CF7"/>
    <w:multiLevelType w:val="multilevel"/>
    <w:tmpl w:val="BA8616D6"/>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1A0CC6"/>
    <w:multiLevelType w:val="multilevel"/>
    <w:tmpl w:val="5A500DC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8C24AB1"/>
    <w:multiLevelType w:val="multilevel"/>
    <w:tmpl w:val="6C161F1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A98465E"/>
    <w:multiLevelType w:val="multilevel"/>
    <w:tmpl w:val="99C0E92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C3A6429"/>
    <w:multiLevelType w:val="multilevel"/>
    <w:tmpl w:val="99862B8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E413D30"/>
    <w:multiLevelType w:val="multilevel"/>
    <w:tmpl w:val="18363E9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E941BDD"/>
    <w:multiLevelType w:val="multilevel"/>
    <w:tmpl w:val="21B81A9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12F1B20"/>
    <w:multiLevelType w:val="multilevel"/>
    <w:tmpl w:val="9C36558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3DA72C8"/>
    <w:multiLevelType w:val="multilevel"/>
    <w:tmpl w:val="7F74F8E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52D4EB0"/>
    <w:multiLevelType w:val="multilevel"/>
    <w:tmpl w:val="E50807C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A592ECB"/>
    <w:multiLevelType w:val="multilevel"/>
    <w:tmpl w:val="DA267FE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CB06F39"/>
    <w:multiLevelType w:val="multilevel"/>
    <w:tmpl w:val="4810ED4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841246F"/>
    <w:multiLevelType w:val="multilevel"/>
    <w:tmpl w:val="B9B869E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9C30E61"/>
    <w:multiLevelType w:val="multilevel"/>
    <w:tmpl w:val="8C4A647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9C5546E"/>
    <w:multiLevelType w:val="multilevel"/>
    <w:tmpl w:val="981CF30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B3F6261"/>
    <w:multiLevelType w:val="multilevel"/>
    <w:tmpl w:val="ED764AB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F192DD3"/>
    <w:multiLevelType w:val="multilevel"/>
    <w:tmpl w:val="68DE8EB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2D215F6"/>
    <w:multiLevelType w:val="multilevel"/>
    <w:tmpl w:val="88906C8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70A6A3E"/>
    <w:multiLevelType w:val="multilevel"/>
    <w:tmpl w:val="3A2641E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829604A"/>
    <w:multiLevelType w:val="multilevel"/>
    <w:tmpl w:val="91EEC1E6"/>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8421892"/>
    <w:multiLevelType w:val="multilevel"/>
    <w:tmpl w:val="978086A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8B5649B"/>
    <w:multiLevelType w:val="multilevel"/>
    <w:tmpl w:val="9048BAC8"/>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A6B75BA"/>
    <w:multiLevelType w:val="multilevel"/>
    <w:tmpl w:val="57AE2F7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B5042CA"/>
    <w:multiLevelType w:val="multilevel"/>
    <w:tmpl w:val="049672A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D3B6F16"/>
    <w:multiLevelType w:val="multilevel"/>
    <w:tmpl w:val="BE3C770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904ED8"/>
    <w:multiLevelType w:val="multilevel"/>
    <w:tmpl w:val="EAF2C92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4305678"/>
    <w:multiLevelType w:val="multilevel"/>
    <w:tmpl w:val="10B66986"/>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6BC0596"/>
    <w:multiLevelType w:val="multilevel"/>
    <w:tmpl w:val="DA7C498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5F14C1"/>
    <w:multiLevelType w:val="multilevel"/>
    <w:tmpl w:val="BCD252A8"/>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640F75"/>
    <w:multiLevelType w:val="multilevel"/>
    <w:tmpl w:val="76A6629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0983500"/>
    <w:multiLevelType w:val="multilevel"/>
    <w:tmpl w:val="1100B2C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71B07A7"/>
    <w:multiLevelType w:val="multilevel"/>
    <w:tmpl w:val="69E03852"/>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760682C"/>
    <w:multiLevelType w:val="multilevel"/>
    <w:tmpl w:val="4A561C4A"/>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89F45E1"/>
    <w:multiLevelType w:val="multilevel"/>
    <w:tmpl w:val="F1A25E2E"/>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9C42386"/>
    <w:multiLevelType w:val="multilevel"/>
    <w:tmpl w:val="F0E05924"/>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BA70038"/>
    <w:multiLevelType w:val="multilevel"/>
    <w:tmpl w:val="1B562150"/>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684239960">
    <w:abstractNumId w:val="50"/>
  </w:num>
  <w:num w:numId="2" w16cid:durableId="429548306">
    <w:abstractNumId w:val="21"/>
  </w:num>
  <w:num w:numId="3" w16cid:durableId="1178957414">
    <w:abstractNumId w:val="10"/>
  </w:num>
  <w:num w:numId="4" w16cid:durableId="1448355294">
    <w:abstractNumId w:val="43"/>
  </w:num>
  <w:num w:numId="5" w16cid:durableId="1379167076">
    <w:abstractNumId w:val="11"/>
  </w:num>
  <w:num w:numId="6" w16cid:durableId="535581810">
    <w:abstractNumId w:val="26"/>
  </w:num>
  <w:num w:numId="7" w16cid:durableId="333921501">
    <w:abstractNumId w:val="9"/>
  </w:num>
  <w:num w:numId="8" w16cid:durableId="1676034622">
    <w:abstractNumId w:val="16"/>
  </w:num>
  <w:num w:numId="9" w16cid:durableId="1428192551">
    <w:abstractNumId w:val="30"/>
  </w:num>
  <w:num w:numId="10" w16cid:durableId="1668677893">
    <w:abstractNumId w:val="38"/>
  </w:num>
  <w:num w:numId="11" w16cid:durableId="767386115">
    <w:abstractNumId w:val="18"/>
  </w:num>
  <w:num w:numId="12" w16cid:durableId="1619025354">
    <w:abstractNumId w:val="46"/>
  </w:num>
  <w:num w:numId="13" w16cid:durableId="1950354097">
    <w:abstractNumId w:val="5"/>
  </w:num>
  <w:num w:numId="14" w16cid:durableId="1375233394">
    <w:abstractNumId w:val="37"/>
  </w:num>
  <w:num w:numId="15" w16cid:durableId="1709645549">
    <w:abstractNumId w:val="31"/>
  </w:num>
  <w:num w:numId="16" w16cid:durableId="1494641923">
    <w:abstractNumId w:val="49"/>
  </w:num>
  <w:num w:numId="17" w16cid:durableId="1578708469">
    <w:abstractNumId w:val="23"/>
  </w:num>
  <w:num w:numId="18" w16cid:durableId="58599175">
    <w:abstractNumId w:val="45"/>
  </w:num>
  <w:num w:numId="19" w16cid:durableId="288626962">
    <w:abstractNumId w:val="47"/>
  </w:num>
  <w:num w:numId="20" w16cid:durableId="2133862217">
    <w:abstractNumId w:val="44"/>
  </w:num>
  <w:num w:numId="21" w16cid:durableId="21054679">
    <w:abstractNumId w:val="1"/>
  </w:num>
  <w:num w:numId="22" w16cid:durableId="784811977">
    <w:abstractNumId w:val="4"/>
  </w:num>
  <w:num w:numId="23" w16cid:durableId="59252655">
    <w:abstractNumId w:val="33"/>
  </w:num>
  <w:num w:numId="24" w16cid:durableId="826899572">
    <w:abstractNumId w:val="27"/>
  </w:num>
  <w:num w:numId="25" w16cid:durableId="1365986102">
    <w:abstractNumId w:val="12"/>
  </w:num>
  <w:num w:numId="26" w16cid:durableId="1684360504">
    <w:abstractNumId w:val="20"/>
  </w:num>
  <w:num w:numId="27" w16cid:durableId="582757551">
    <w:abstractNumId w:val="29"/>
  </w:num>
  <w:num w:numId="28" w16cid:durableId="1764447342">
    <w:abstractNumId w:val="35"/>
  </w:num>
  <w:num w:numId="29" w16cid:durableId="899754515">
    <w:abstractNumId w:val="7"/>
  </w:num>
  <w:num w:numId="30" w16cid:durableId="1460420591">
    <w:abstractNumId w:val="39"/>
  </w:num>
  <w:num w:numId="31" w16cid:durableId="2114665858">
    <w:abstractNumId w:val="24"/>
  </w:num>
  <w:num w:numId="32" w16cid:durableId="1807504525">
    <w:abstractNumId w:val="13"/>
  </w:num>
  <w:num w:numId="33" w16cid:durableId="1091901158">
    <w:abstractNumId w:val="17"/>
  </w:num>
  <w:num w:numId="34" w16cid:durableId="1760132095">
    <w:abstractNumId w:val="34"/>
  </w:num>
  <w:num w:numId="35" w16cid:durableId="1035541778">
    <w:abstractNumId w:val="22"/>
  </w:num>
  <w:num w:numId="36" w16cid:durableId="765224082">
    <w:abstractNumId w:val="8"/>
  </w:num>
  <w:num w:numId="37" w16cid:durableId="1877159833">
    <w:abstractNumId w:val="40"/>
  </w:num>
  <w:num w:numId="38" w16cid:durableId="105934378">
    <w:abstractNumId w:val="14"/>
  </w:num>
  <w:num w:numId="39" w16cid:durableId="222955925">
    <w:abstractNumId w:val="28"/>
  </w:num>
  <w:num w:numId="40" w16cid:durableId="1484464440">
    <w:abstractNumId w:val="42"/>
  </w:num>
  <w:num w:numId="41" w16cid:durableId="1734235126">
    <w:abstractNumId w:val="6"/>
  </w:num>
  <w:num w:numId="42" w16cid:durableId="1277716417">
    <w:abstractNumId w:val="48"/>
  </w:num>
  <w:num w:numId="43" w16cid:durableId="1709054">
    <w:abstractNumId w:val="32"/>
  </w:num>
  <w:num w:numId="44" w16cid:durableId="1419252794">
    <w:abstractNumId w:val="0"/>
  </w:num>
  <w:num w:numId="45" w16cid:durableId="668866959">
    <w:abstractNumId w:val="3"/>
  </w:num>
  <w:num w:numId="46" w16cid:durableId="461774931">
    <w:abstractNumId w:val="15"/>
  </w:num>
  <w:num w:numId="47" w16cid:durableId="2121954488">
    <w:abstractNumId w:val="25"/>
  </w:num>
  <w:num w:numId="48" w16cid:durableId="571476692">
    <w:abstractNumId w:val="41"/>
  </w:num>
  <w:num w:numId="49" w16cid:durableId="422460039">
    <w:abstractNumId w:val="36"/>
  </w:num>
  <w:num w:numId="50" w16cid:durableId="399521839">
    <w:abstractNumId w:val="19"/>
  </w:num>
  <w:num w:numId="51" w16cid:durableId="104006816">
    <w:abstractNumId w:val="2"/>
  </w:num>
  <w:num w:numId="52" w16cid:durableId="676660893">
    <w:abstractNumId w:val="50"/>
    <w:lvlOverride w:ilvl="0">
      <w:startOverride w:val="1"/>
    </w:lvlOverride>
  </w:num>
  <w:num w:numId="53" w16cid:durableId="1014067967">
    <w:abstractNumId w:val="50"/>
  </w:num>
  <w:num w:numId="54" w16cid:durableId="1327788313">
    <w:abstractNumId w:val="50"/>
  </w:num>
  <w:num w:numId="55" w16cid:durableId="1769159454">
    <w:abstractNumId w:val="50"/>
  </w:num>
  <w:num w:numId="56" w16cid:durableId="781387892">
    <w:abstractNumId w:val="50"/>
  </w:num>
  <w:num w:numId="57" w16cid:durableId="1479493962">
    <w:abstractNumId w:val="50"/>
  </w:num>
  <w:num w:numId="58" w16cid:durableId="980499410">
    <w:abstractNumId w:val="50"/>
  </w:num>
  <w:num w:numId="59" w16cid:durableId="793518884">
    <w:abstractNumId w:val="50"/>
  </w:num>
  <w:num w:numId="60" w16cid:durableId="655649046">
    <w:abstractNumId w:val="50"/>
  </w:num>
  <w:num w:numId="61" w16cid:durableId="1233347186">
    <w:abstractNumId w:val="50"/>
  </w:num>
  <w:num w:numId="62" w16cid:durableId="498741151">
    <w:abstractNumId w:val="50"/>
  </w:num>
  <w:num w:numId="63" w16cid:durableId="848719223">
    <w:abstractNumId w:val="50"/>
  </w:num>
  <w:num w:numId="64" w16cid:durableId="1871724618">
    <w:abstractNumId w:val="50"/>
  </w:num>
  <w:num w:numId="65" w16cid:durableId="710497089">
    <w:abstractNumId w:val="50"/>
  </w:num>
  <w:num w:numId="66" w16cid:durableId="1664235416">
    <w:abstractNumId w:val="50"/>
  </w:num>
  <w:num w:numId="67" w16cid:durableId="1059475055">
    <w:abstractNumId w:val="50"/>
  </w:num>
  <w:num w:numId="68" w16cid:durableId="1752464552">
    <w:abstractNumId w:val="50"/>
  </w:num>
  <w:num w:numId="69" w16cid:durableId="924875431">
    <w:abstractNumId w:val="50"/>
  </w:num>
  <w:num w:numId="70" w16cid:durableId="1570575500">
    <w:abstractNumId w:val="50"/>
  </w:num>
  <w:num w:numId="71" w16cid:durableId="225842794">
    <w:abstractNumId w:val="50"/>
  </w:num>
  <w:num w:numId="72" w16cid:durableId="1109622286">
    <w:abstractNumId w:val="50"/>
  </w:num>
  <w:num w:numId="73" w16cid:durableId="1890416614">
    <w:abstractNumId w:val="50"/>
  </w:num>
  <w:num w:numId="74" w16cid:durableId="669061219">
    <w:abstractNumId w:val="50"/>
  </w:num>
  <w:num w:numId="75" w16cid:durableId="1825000870">
    <w:abstractNumId w:val="50"/>
  </w:num>
  <w:num w:numId="76" w16cid:durableId="1681160416">
    <w:abstractNumId w:val="50"/>
  </w:num>
  <w:num w:numId="77" w16cid:durableId="58017354">
    <w:abstractNumId w:val="50"/>
  </w:num>
  <w:num w:numId="78" w16cid:durableId="1647975567">
    <w:abstractNumId w:val="50"/>
  </w:num>
  <w:num w:numId="79" w16cid:durableId="1630235447">
    <w:abstractNumId w:val="50"/>
  </w:num>
  <w:num w:numId="80" w16cid:durableId="1537548376">
    <w:abstractNumId w:val="50"/>
  </w:num>
  <w:num w:numId="81" w16cid:durableId="1291205017">
    <w:abstractNumId w:val="50"/>
  </w:num>
  <w:num w:numId="82" w16cid:durableId="1048601862">
    <w:abstractNumId w:val="50"/>
  </w:num>
  <w:num w:numId="83" w16cid:durableId="621808178">
    <w:abstractNumId w:val="50"/>
  </w:num>
  <w:num w:numId="84" w16cid:durableId="281303260">
    <w:abstractNumId w:val="50"/>
  </w:num>
  <w:num w:numId="85" w16cid:durableId="924000108">
    <w:abstractNumId w:val="50"/>
  </w:num>
  <w:num w:numId="86" w16cid:durableId="711420517">
    <w:abstractNumId w:val="50"/>
  </w:num>
  <w:num w:numId="87" w16cid:durableId="1824741040">
    <w:abstractNumId w:val="50"/>
  </w:num>
  <w:num w:numId="88" w16cid:durableId="135073356">
    <w:abstractNumId w:val="50"/>
  </w:num>
  <w:num w:numId="89" w16cid:durableId="1601571527">
    <w:abstractNumId w:val="50"/>
  </w:num>
  <w:num w:numId="90" w16cid:durableId="1173492381">
    <w:abstractNumId w:val="50"/>
  </w:num>
  <w:num w:numId="91" w16cid:durableId="1006975300">
    <w:abstractNumId w:val="50"/>
  </w:num>
  <w:num w:numId="92" w16cid:durableId="731998276">
    <w:abstractNumId w:val="50"/>
  </w:num>
  <w:num w:numId="93" w16cid:durableId="1630353658">
    <w:abstractNumId w:val="50"/>
  </w:num>
  <w:num w:numId="94" w16cid:durableId="784278445">
    <w:abstractNumId w:val="50"/>
  </w:num>
  <w:num w:numId="95" w16cid:durableId="1629627741">
    <w:abstractNumId w:val="50"/>
  </w:num>
  <w:num w:numId="96" w16cid:durableId="490753742">
    <w:abstractNumId w:val="50"/>
  </w:num>
  <w:num w:numId="97" w16cid:durableId="1016883061">
    <w:abstractNumId w:val="50"/>
  </w:num>
  <w:num w:numId="98" w16cid:durableId="1312448263">
    <w:abstractNumId w:val="50"/>
  </w:num>
  <w:num w:numId="99" w16cid:durableId="836194986">
    <w:abstractNumId w:val="50"/>
  </w:num>
  <w:num w:numId="100" w16cid:durableId="2091538198">
    <w:abstractNumId w:val="50"/>
  </w:num>
  <w:num w:numId="101" w16cid:durableId="186027011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96"/>
    <w:rsid w:val="000B5B96"/>
    <w:rsid w:val="001B36D1"/>
    <w:rsid w:val="006E3E77"/>
    <w:rsid w:val="00915095"/>
    <w:rsid w:val="00BE28E1"/>
    <w:rsid w:val="00FF0F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86ED9D27-EF32-9B4C-8A46-0E4B05D2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4D0"/>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semiHidden/>
    <w:qFormat/>
    <w:rsid w:val="00EB4855"/>
    <w:rPr>
      <w:rFonts w:ascii="Times New Roman" w:eastAsia="Times New Roman" w:hAnsi="Times New Roman" w:cs="Times New Roman"/>
      <w:sz w:val="20"/>
      <w:szCs w:val="20"/>
      <w:lang w:eastAsia="ru-RU"/>
    </w:rPr>
  </w:style>
  <w:style w:type="character" w:styleId="a4">
    <w:name w:val="annotation reference"/>
    <w:semiHidden/>
    <w:unhideWhenUsed/>
    <w:qFormat/>
    <w:rsid w:val="00EB4855"/>
    <w:rPr>
      <w:sz w:val="16"/>
      <w:szCs w:val="16"/>
    </w:rPr>
  </w:style>
  <w:style w:type="character" w:customStyle="1" w:styleId="a5">
    <w:name w:val="Нижний колонтитул Знак"/>
    <w:basedOn w:val="a0"/>
    <w:uiPriority w:val="99"/>
    <w:qFormat/>
    <w:rsid w:val="00EB4855"/>
    <w:rPr>
      <w:rFonts w:ascii="Times New Roman" w:eastAsia="Times New Roman" w:hAnsi="Times New Roman" w:cs="Times New Roman"/>
      <w:sz w:val="24"/>
      <w:szCs w:val="24"/>
      <w:lang w:eastAsia="ru-RU"/>
    </w:rPr>
  </w:style>
  <w:style w:type="character" w:customStyle="1" w:styleId="a6">
    <w:name w:val="Текст выноски Знак"/>
    <w:basedOn w:val="a0"/>
    <w:uiPriority w:val="99"/>
    <w:semiHidden/>
    <w:qFormat/>
    <w:rsid w:val="00EB4855"/>
    <w:rPr>
      <w:rFonts w:ascii="Tahoma" w:hAnsi="Tahoma" w:cs="Tahoma"/>
      <w:sz w:val="16"/>
      <w:szCs w:val="16"/>
    </w:rPr>
  </w:style>
  <w:style w:type="character" w:customStyle="1" w:styleId="a7">
    <w:name w:val="Тема примечания Знак"/>
    <w:basedOn w:val="a3"/>
    <w:uiPriority w:val="99"/>
    <w:semiHidden/>
    <w:qFormat/>
    <w:rsid w:val="004A342E"/>
    <w:rPr>
      <w:rFonts w:ascii="Times New Roman" w:eastAsia="Times New Roman" w:hAnsi="Times New Roman" w:cs="Times New Roman"/>
      <w:b/>
      <w:bCs/>
      <w:sz w:val="20"/>
      <w:szCs w:val="20"/>
      <w:lang w:eastAsia="ru-RU"/>
    </w:rPr>
  </w:style>
  <w:style w:type="character" w:styleId="a8">
    <w:name w:val="Placeholder Text"/>
    <w:basedOn w:val="a0"/>
    <w:uiPriority w:val="99"/>
    <w:semiHidden/>
    <w:qFormat/>
    <w:rsid w:val="00F35F1E"/>
    <w:rPr>
      <w:color w:val="808080"/>
    </w:rPr>
  </w:style>
  <w:style w:type="character" w:customStyle="1" w:styleId="a9">
    <w:name w:val="Верхний колонтитул Знак"/>
    <w:basedOn w:val="a0"/>
    <w:uiPriority w:val="99"/>
    <w:qFormat/>
    <w:rsid w:val="00CB279B"/>
  </w:style>
  <w:style w:type="character" w:customStyle="1" w:styleId="-">
    <w:name w:val="Интернет-ссылка"/>
    <w:basedOn w:val="a0"/>
    <w:uiPriority w:val="99"/>
    <w:unhideWhenUsed/>
    <w:rsid w:val="0014588C"/>
    <w:rPr>
      <w:color w:val="0000FF" w:themeColor="hyperlink"/>
      <w:u w:val="single"/>
    </w:rPr>
  </w:style>
  <w:style w:type="character" w:customStyle="1" w:styleId="js-phone-number">
    <w:name w:val="js-phone-number"/>
    <w:basedOn w:val="a0"/>
    <w:qFormat/>
    <w:rsid w:val="00F2250D"/>
  </w:style>
  <w:style w:type="character" w:styleId="aa">
    <w:name w:val="Unresolved Mention"/>
    <w:basedOn w:val="a0"/>
    <w:uiPriority w:val="99"/>
    <w:semiHidden/>
    <w:unhideWhenUsed/>
    <w:qFormat/>
    <w:rsid w:val="00E64AA0"/>
    <w:rPr>
      <w:color w:val="605E5C"/>
      <w:shd w:val="clear" w:color="auto" w:fill="E1DFDD"/>
    </w:rPr>
  </w:style>
  <w:style w:type="paragraph" w:styleId="ab">
    <w:name w:val="Title"/>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pPr>
      <w:spacing w:after="140"/>
    </w:pPr>
  </w:style>
  <w:style w:type="paragraph" w:styleId="ad">
    <w:name w:val="List"/>
    <w:basedOn w:val="ac"/>
    <w:rPr>
      <w:rFonts w:cs="Lohit Devanagari"/>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cs="Lohit Devanagari"/>
    </w:rPr>
  </w:style>
  <w:style w:type="paragraph" w:styleId="af0">
    <w:name w:val="annotation text"/>
    <w:basedOn w:val="a"/>
    <w:semiHidden/>
    <w:unhideWhenUsed/>
    <w:qFormat/>
    <w:rsid w:val="00EB4855"/>
    <w:pPr>
      <w:spacing w:after="0" w:line="240" w:lineRule="auto"/>
    </w:pPr>
    <w:rPr>
      <w:rFonts w:ascii="Times New Roman" w:eastAsia="Times New Roman" w:hAnsi="Times New Roman" w:cs="Times New Roman"/>
      <w:sz w:val="20"/>
      <w:szCs w:val="20"/>
      <w:lang w:eastAsia="ru-RU"/>
    </w:rPr>
  </w:style>
  <w:style w:type="paragraph" w:customStyle="1" w:styleId="af1">
    <w:name w:val="Верхний и нижний колонтитулы"/>
    <w:basedOn w:val="a"/>
    <w:qFormat/>
  </w:style>
  <w:style w:type="paragraph" w:styleId="af2">
    <w:name w:val="footer"/>
    <w:basedOn w:val="a"/>
    <w:uiPriority w:val="99"/>
    <w:unhideWhenUsed/>
    <w:rsid w:val="00EB4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3">
    <w:name w:val="Balloon Text"/>
    <w:basedOn w:val="a"/>
    <w:uiPriority w:val="99"/>
    <w:semiHidden/>
    <w:unhideWhenUsed/>
    <w:qFormat/>
    <w:rsid w:val="00EB4855"/>
    <w:pPr>
      <w:spacing w:after="0" w:line="240" w:lineRule="auto"/>
    </w:pPr>
    <w:rPr>
      <w:rFonts w:ascii="Tahoma" w:hAnsi="Tahoma" w:cs="Tahoma"/>
      <w:sz w:val="16"/>
      <w:szCs w:val="16"/>
    </w:rPr>
  </w:style>
  <w:style w:type="paragraph" w:styleId="af4">
    <w:name w:val="annotation subject"/>
    <w:basedOn w:val="af0"/>
    <w:next w:val="af0"/>
    <w:uiPriority w:val="99"/>
    <w:semiHidden/>
    <w:unhideWhenUsed/>
    <w:qFormat/>
    <w:rsid w:val="004A342E"/>
    <w:pPr>
      <w:spacing w:after="200"/>
    </w:pPr>
    <w:rPr>
      <w:rFonts w:asciiTheme="minorHAnsi" w:eastAsiaTheme="minorHAnsi" w:hAnsiTheme="minorHAnsi" w:cstheme="minorBidi"/>
      <w:b/>
      <w:bCs/>
      <w:lang w:eastAsia="en-US"/>
    </w:rPr>
  </w:style>
  <w:style w:type="paragraph" w:styleId="af5">
    <w:name w:val="header"/>
    <w:basedOn w:val="a"/>
    <w:uiPriority w:val="99"/>
    <w:unhideWhenUsed/>
    <w:rsid w:val="00CB279B"/>
    <w:pPr>
      <w:tabs>
        <w:tab w:val="center" w:pos="4677"/>
        <w:tab w:val="right" w:pos="9355"/>
      </w:tabs>
      <w:spacing w:after="0" w:line="240" w:lineRule="auto"/>
    </w:pPr>
  </w:style>
  <w:style w:type="paragraph" w:styleId="af6">
    <w:name w:val="List Paragraph"/>
    <w:basedOn w:val="a"/>
    <w:uiPriority w:val="34"/>
    <w:qFormat/>
    <w:rsid w:val="001F178F"/>
    <w:pPr>
      <w:ind w:left="720"/>
      <w:contextualSpacing/>
    </w:pPr>
  </w:style>
  <w:style w:type="numbering" w:customStyle="1" w:styleId="af7">
    <w:name w:val="Мой процесс доки"/>
    <w:uiPriority w:val="99"/>
    <w:qFormat/>
    <w:rsid w:val="00335BD6"/>
  </w:style>
  <w:style w:type="table" w:styleId="af8">
    <w:name w:val="Table Grid"/>
    <w:basedOn w:val="a1"/>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rsid w:val="00CC2B5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ctld.ru/domains/do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tld.ru/files/pdf/docs/rules_ru-r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5594-CA15-3543-8769-8F37DF276237}">
  <ds:schemaRefs>
    <ds:schemaRef ds:uri="http://schemas.openxmlformats.org/officeDocument/2006/bibliography"/>
  </ds:schemaRefs>
</ds:datastoreItem>
</file>